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webSettings.xml" ContentType="application/vnd.openxmlformats-officedocument.wordprocessingml.webSetting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ve="http://schemas.openxmlformats.org/markup-compatibility/2006" xmlns:w="http://schemas.openxmlformats.org/wordprocessingml/2006/main" xmlns:w10="urn:schemas-microsoft-com:office:word" xmlns:wne="http://schemas.microsoft.com/office/word/2006/wordml">
  <w:body>
    <w:tbl>
      <w:tblPr>
        <w:tblStyle w:val="TableStyle0"/>
        <w:tblW w:w="0" w:type="auto"/>
        <w:tblLayout w:type="fixed"/>
        <w:tblCellMar>
          <w:left w:w="108" w:type="dxa"/>
          <w:right w:w="108" w:type="dxa"/>
        </w:tblCellMar>
        <w:tblLook w:val="04A0"/>
      </w:tblPr>
      <w:tblGrid>
        <w:gridCol w:w="499"/>
        <w:gridCol w:w="1654"/>
        <w:gridCol w:w="945"/>
        <w:gridCol w:w="945"/>
        <w:gridCol w:w="945"/>
        <w:gridCol w:w="945"/>
        <w:gridCol w:w="945"/>
        <w:gridCol w:w="945"/>
        <w:gridCol w:w="1037"/>
        <w:gridCol w:w="1076"/>
      </w:tblGrid>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ТИПОВОЙ ДОГОВОР</w:t>
              <w:br/>
              <w:t>
водоотведения № 312118-С</w:t>
            </w:r>
          </w:p>
        </w:tc>
      </w:tr>
      <w:tr>
        <w:trPr>
          <w:trHeight w:val="60" w:hRule="atLeast"/>
        </w:trPr>
        <w:tc>
          <w:tcPr>
            <w:tcW w:w="499" w:type="dxa"/>
            <w:shd w:val="clear" w:color="FFFFFF" w:fill="auto"/>
            <w:textDirection w:val="lrTb"/>
            <w:vAlign w:val="bottom"/>
          </w:tcPr>
          <w:p>
            <w:pPr>
              <w:wordWrap w:val="1"/>
              <w:jc w:val="both"/>
              <w:rPr>
                <w:rFonts w:ascii="Arial" w:hAnsi="Arial"/>
                <w:b/>
                <w:sz w:val="18"/>
                <w:szCs w:val="18"/>
              </w:rPr>
            </w:pPr>
          </w:p>
        </w:tc>
        <w:tc>
          <w:tcPr>
            <w:tcW w:w="1654"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both"/>
              <w:rPr>
                <w:rFonts w:ascii="Arial" w:hAnsi="Arial"/>
                <w:b/>
                <w:sz w:val="18"/>
                <w:szCs w:val="18"/>
              </w:rPr>
            </w:pPr>
          </w:p>
        </w:tc>
        <w:tc>
          <w:tcPr>
            <w:tcW w:w="945" w:type="dxa"/>
            <w:shd w:val="clear" w:color="FFFFFF" w:fill="auto"/>
            <w:textDirection w:val="lrTb"/>
            <w:vAlign w:val="bottom"/>
          </w:tcPr>
          <w:p>
            <w:pPr>
              <w:wordWrap w:val="1"/>
              <w:jc w:val="right"/>
              <w:rPr>
                <w:rFonts w:ascii="Arial" w:hAnsi="Arial"/>
                <w:b/>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76"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043" w:type="dxa"/>
            <w:gridSpan w:val="4"/>
            <w:shd w:val="clear" w:color="FFFFFF" w:fill="auto"/>
            <w:textDirection w:val="lrTb"/>
            <w:vAlign w:val="bottom"/>
          </w:tcPr>
          <w:p>
            <w:pPr>
              <w:wordWrap w:val="1"/>
              <w:jc w:val="both"/>
              <w:rPr>
                <w:rFonts w:ascii="Arial" w:hAnsi="Arial"/>
                <w:sz w:val="18"/>
                <w:szCs w:val="18"/>
              </w:rPr>
            </w:pPr>
            <w:r>
              <w:rPr>
                <w:rFonts w:ascii="Arial" w:hAnsi="Arial"/>
                <w:sz w:val="18"/>
                <w:szCs w:val="18"/>
              </w:rPr>
              <w:t>п. Чернышевский</w:t>
            </w: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4003" w:type="dxa"/>
            <w:gridSpan w:val="4"/>
            <w:shd w:val="clear" w:color="FFFFFF" w:fill="auto"/>
            <w:textDirection w:val="lrTb"/>
            <w:vAlign w:val="bottom"/>
          </w:tcPr>
          <w:p>
            <w:pPr>
              <w:wordWrap w:val="1"/>
              <w:jc w:val="right"/>
              <w:rPr>
                <w:rFonts w:ascii="Arial" w:hAnsi="Arial"/>
                <w:sz w:val="18"/>
                <w:szCs w:val="18"/>
              </w:rPr>
            </w:pPr>
            <w:r>
              <w:rPr>
                <w:rFonts w:ascii="Arial" w:hAnsi="Arial"/>
                <w:sz w:val="18"/>
                <w:szCs w:val="18"/>
              </w:rPr>
              <w:t>"___" ____________ "______ " г.</w:t>
            </w:r>
          </w:p>
        </w:tc>
      </w:tr>
      <w:tr>
        <w:trPr>
          <w:trHeight w:val="60" w:hRule="atLeast"/>
        </w:trPr>
        <w:tc>
          <w:tcPr>
            <w:tcW w:w="499" w:type="dxa"/>
            <w:shd w:val="clear" w:color="FFFFFF" w:fill="auto"/>
            <w:textDirection w:val="lrTb"/>
            <w:vAlign w:val="bottom"/>
          </w:tcPr>
          <w:p>
            <w:pPr>
              <w:wordWrap w:val="1"/>
              <w:rPr>
                <w:rFonts w:ascii="Arial" w:hAnsi="Arial"/>
                <w:sz w:val="18"/>
                <w:szCs w:val="18"/>
              </w:rPr>
            </w:pPr>
          </w:p>
        </w:tc>
        <w:tc>
          <w:tcPr>
            <w:tcW w:w="1654" w:type="dxa"/>
            <w:shd w:val="clear" w:color="FFFFFF" w:fill="auto"/>
            <w:textDirection w:val="lrTb"/>
            <w:vAlign w:val="bottom"/>
          </w:tcPr>
          <w:p>
            <w:pPr>
              <w:wordWrap w:val="1"/>
              <w:rPr>
                <w:rFonts w:ascii="Arial" w:hAnsi="Arial"/>
                <w:sz w:val="18"/>
                <w:szCs w:val="18"/>
              </w:rPr>
            </w:pPr>
          </w:p>
        </w:tc>
        <w:tc>
          <w:tcPr>
            <w:tcW w:w="945" w:type="dxa"/>
            <w:shd w:val="clear" w:color="FFFFFF" w:fill="auto"/>
            <w:textDirection w:val="lrTb"/>
            <w:vAlign w:val="bottom"/>
          </w:tcPr>
          <w:p>
            <w:pPr>
              <w:wordWrap w:val="1"/>
              <w:rPr>
                <w:rFonts w:ascii="Arial" w:hAnsi="Arial"/>
                <w:sz w:val="18"/>
                <w:szCs w:val="18"/>
              </w:rPr>
            </w:pPr>
          </w:p>
        </w:tc>
        <w:tc>
          <w:tcPr>
            <w:tcW w:w="945" w:type="dxa"/>
            <w:shd w:val="clear" w:color="FFFFFF" w:fill="auto"/>
            <w:textDirection w:val="lrTb"/>
            <w:vAlign w:val="bottom"/>
          </w:tcPr>
          <w:p>
            <w:pPr>
              <w:wordWrap w:val="1"/>
              <w:rPr>
                <w:rFonts w:ascii="Arial" w:hAnsi="Arial"/>
                <w:sz w:val="18"/>
                <w:szCs w:val="18"/>
              </w:rPr>
            </w:pPr>
          </w:p>
        </w:tc>
        <w:tc>
          <w:tcPr>
            <w:tcW w:w="945" w:type="dxa"/>
            <w:shd w:val="clear" w:color="FFFFFF" w:fill="auto"/>
            <w:textDirection w:val="lrTb"/>
            <w:vAlign w:val="bottom"/>
          </w:tcPr>
          <w:p>
            <w:pPr>
              <w:wordWrap w:val="1"/>
              <w:rPr>
                <w:rFonts w:ascii="Arial" w:hAnsi="Arial"/>
                <w:sz w:val="18"/>
                <w:szCs w:val="18"/>
              </w:rPr>
            </w:pPr>
          </w:p>
        </w:tc>
        <w:tc>
          <w:tcPr>
            <w:tcW w:w="945" w:type="dxa"/>
            <w:shd w:val="clear" w:color="FFFFFF" w:fill="auto"/>
            <w:textDirection w:val="lrTb"/>
            <w:vAlign w:val="bottom"/>
          </w:tcPr>
          <w:p>
            <w:pPr>
              <w:wordWrap w:val="1"/>
              <w:rPr>
                <w:rFonts w:ascii="Arial" w:hAnsi="Arial"/>
                <w:sz w:val="18"/>
                <w:szCs w:val="18"/>
              </w:rPr>
            </w:pPr>
          </w:p>
        </w:tc>
        <w:tc>
          <w:tcPr>
            <w:tcW w:w="945" w:type="dxa"/>
            <w:shd w:val="clear" w:color="FFFFFF" w:fill="auto"/>
            <w:textDirection w:val="lrTb"/>
            <w:vAlign w:val="bottom"/>
          </w:tcPr>
          <w:p>
            <w:pPr>
              <w:wordWrap w:val="1"/>
              <w:rPr>
                <w:rFonts w:ascii="Arial" w:hAnsi="Arial"/>
                <w:sz w:val="18"/>
                <w:szCs w:val="18"/>
              </w:rPr>
            </w:pPr>
          </w:p>
        </w:tc>
        <w:tc>
          <w:tcPr>
            <w:tcW w:w="945" w:type="dxa"/>
            <w:shd w:val="clear" w:color="FFFFFF" w:fill="auto"/>
            <w:textDirection w:val="lrTb"/>
            <w:vAlign w:val="bottom"/>
          </w:tcPr>
          <w:p>
            <w:pPr>
              <w:wordWrap w:val="1"/>
              <w:rPr>
                <w:rFonts w:ascii="Arial" w:hAnsi="Arial"/>
                <w:sz w:val="18"/>
                <w:szCs w:val="18"/>
              </w:rPr>
            </w:pPr>
          </w:p>
        </w:tc>
        <w:tc>
          <w:tcPr>
            <w:tcW w:w="1037" w:type="dxa"/>
            <w:shd w:val="clear" w:color="FFFFFF" w:fill="auto"/>
            <w:textDirection w:val="lrTb"/>
            <w:vAlign w:val="bottom"/>
          </w:tcPr>
          <w:p>
            <w:pPr>
              <w:wordWrap w:val="1"/>
              <w:rPr>
                <w:rFonts w:ascii="Arial" w:hAnsi="Arial"/>
                <w:sz w:val="18"/>
                <w:szCs w:val="18"/>
              </w:rPr>
            </w:pPr>
          </w:p>
        </w:tc>
        <w:tc>
          <w:tcPr>
            <w:tcW w:w="1076" w:type="dxa"/>
            <w:shd w:val="clear" w:color="FFFFFF" w:fill="auto"/>
            <w:textDirection w:val="lrTb"/>
            <w:vAlign w:val="bottom"/>
          </w:tcPr>
          <w:p>
            <w:pPr>
              <w:wordWrap w:val="1"/>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Акционерное общество "Теплоэнергосервис", именуемое  в дальнейшем Организацией водопроводно-канализационного хозяйства, в лице директора филиала  Фаткина Андрея Александровича, действующего на основании доверенности №43 от 28.11.2022г., с одной стороны, и Автономная некоммерческая дошкольная образовательная организация "Алмазик", именуемый(ое) в дальнейшем «Абонент», в лице исполнительного директора Мироненко Александра Васильевича, действующего на основании Устава, с другой стороны, именуемые в дальнейшем «Сторонами», заключили настоящий договор о нижеследующем: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 Предмет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 По настоящему договору организация водопроводно-канализационного хозяйства,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очистку и сброс в водный объект, а Абонент обязуется соблюдать режим водоотведения, требования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объектов централизованной системы водоотведения, нормативы по объему отводимых в централизованные системы водоотведения сточных вод (далее - нормативы по объему сточных вод) и нормативы состава сточных вод и производить организации водопроводно- канализационного хозяйства оплату водоотведения в сроки и порядке, которые определены в настоящем договоре.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 Границы балансовой принадлежности и эксплуатационной ответственности объектов централизованных систем водоотведения организации водопроводно-канализационного хозяйства и Абонента определяются   в   соответствии   с актом разграничения балансовой принадлежности и эксплуатационной ответственности по форме согласно приложению № 1.</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 Акт разграничения балансовой принадлежности и эксплуатационной ответственности, приведенный в приложении № 1 к настоящему договору, подлежит подписанию при заключении настоящего договора и является его неотъемлемой частью.</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II. Сроки и режим приема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  Датой начала приема сточных вод является "01" января "2023 " г.</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 Сведения о режиме приема сточных вод указываются в соответствии с условиями подключения (технологического присоединения) к централизованной системе водоотведения по форме согласно приложению № 2.</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5.1. Сведения о подключенной (технологически присоединенной) мощности (нагрузке), в том числе с распределением подключенной (технологически присоединенной) мощности (нагрузки) по каждой точке подключения (технологического присоединения), в пределах которой организация водопроводно-канализационного хозяйства принимает на себя обязательства обеспечить оказание Абоненту услуг по водоотведению, указываются по форме согласно приложению № 8.</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III. Тарифы, сроки и порядок оплаты</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 Оплата по настоящему договору осуществляется Абонентами по тарифам на водоотведение, установленным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двухставочных тарифов указывается размер нагрузки, в отношении которой применяется ставка тарифа за содержание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7. Расчетный период, установленный настоящим договором, равен одному календарному месяцу. Абонент вносит оплату по настоящему договору в следующем порядке (если иное не предусмотрено Правилами холодного водоснабжения и водоотведения, утвержденными постановлением Правительства Российской Федерации от 29 июля 2013 г. №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- 30 процентов стоимости объема сточных вод, сброшенных Абонентами за предыдущий месяц (для Абонентов, договоры с которыми заключены менее одного месяца назад, - стоимости максимального расхода сточных вод, указанных в настоящем договоре), вносится до 18-го числа текущего месяца, за который осуществляется оплата;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 оплата за фактически оказанные услуги водоотведения в истекшем месяце с учетом средств, ранее внесенных Абонентами в качестве оплаты за водоотведение в расчетном периоде, осуществляется 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случае если объем фактически оказанной услуги водоотведения за истекший месяц, определенный в соответствии с Правилами организации коммерческого учета воды, сточных вод, утвержденными постановлением Правительства Российской Федерации от 4 сентября 2013 г. № 776 "Об утверждении Правил организации коммерческого учета воды, сточных вод" (далее - Правила организации коммерческого учета воды, сточных вод), окажется меньше объема сточных вод, за который Абонентами была произведена оплата, излишне уплаченная сумма засчитывается в счет последующего платежа за следующий месяц.</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Датой оплаты считается дата поступления денежных средств на расчетный счет организации водопроводно-канализационного хозяйства.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7.1. Способом доставки расчетно-платежных документов Абоненту является ______________________________.</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случае если выставление организацией водопроводно-канализационного хозяйства расчетно-платежных документов Абоненту осуществляется посредством электронного документооборота с использованием электронной подписи, такой электронный документооборот осуществляется в соответствии с соглашением об осуществлении электронного документооборота, заключенным по форме согласно приложению № 3.</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Соглашение об осуществлении электронного документооборота, приведенное в приложении № 3 к настоящему договору, подлежит подписанию сторонами настоящего договора и становится неотъемлемой частью настоящего договора в случае, если абзацем первым настоящего пункта предусмотрено, что выставление расчетно-платежных документов должно осуществляться посредством электронного документооборота с использованием электронной подписи.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8. Сверка расчетов по настоящему договору проводится между организацией водопроводно-канализационного хозяйства и Абонентами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договору, уведомляет другую сторону о дате ее проведения не менее чем за 5 рабочих дней до даты ее проведения. В случае неявки одной стороны к указанному сроку для проведения сверки расчетов по договору сторона, инициирующая проведение сверки расчетов по договору, составляет и направляет в адрес другой стороны акт о сверке расчетов в 2 экземплярах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 В таком случае акт о сверке расчетов подписывается в течение 3 рабочих дней со дня его получения. В случае неполучения ответа в течение 10 рабочих дней после направления другой стороне акта о сверке расчетов этот акт считается признанным (согласованным) обеими сторонами.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9. Размер платы за негативное воздействие на работу централизованной системы водоотведения, а также размер платы Абонента в связи с нарушением Абонентами нормативов по объему сточных вод и нормативов состава сточных вод рассчитываются в соответствии с требованиями законодательства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Оплата производится Абонентами на основании счетов, выставляемых организацией водопроводно-канализационного хозяйства, в течение 7 рабочих дней с даты выставления счета.</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IV. Права и обязанности сторон</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10. Организация водопроводно-канализационного хозяйства обязана: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обеспечивать эксплуатацию канализационных сетей, принадлежащих ей на праве собственности или ином законном основании и (или) находящихся в границах ее эксплуатационной ответственности, в соответствии с требованиями нормативно-технических документов;</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при участии представителя Абонента осуществлять допуск к эксплуатации узла учета (если в соответствии с требованиями законодательства Российской Федерации Абонент обязан устанавливать приборы учета сточных вод), устройств и сооружений, предназначенных для подключения к централизованной системе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соблюдать установленный режим приема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предупреждать Абонента о временном прекращении или ограничении водоотведения в порядке и случаях, которые предусмотрены настоящим договором и нормативными правовыми актами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принимать необходимые меры по своевременной ликвидации аварий и повреждений на централизованной системе водоотведения, принадлежащей организации водопроводно-канализационного хозяйства на праве собственности или ином законном основании, в порядке и сроки, которые установлены нормативно-технической документацией, а также по возобновлению действия такой системы с соблюдением требований, установленных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требовать от Абонента реализации мероприятий, направленных на достижение установленных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ж) осуществлять контроль за соблюдением Абонентами режима водоотведения, нормативов по объему сточных вод и нормативов состава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з)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и) отвечать на жалобы и обращения Абонента, относящиеся к исполнению настоящего договора, в течение срока, установленного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к) уведомлять Абонента о графиках и сроках проведения планово-предупредительного ремонта канализационных сетей, через которые осуществляется водоотведение сточных вод Абонента, в случае, если это влечет отключение или ограничение водоотведения в отношении Абонента;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л) опломбировать Абоненту приборы учета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11. Организация водопроводно-канализационного хозяйства имеет право:</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осуществлять контроль за правильностью осуществления Абонентами учета объемов отведенных сточных вод, осуществлять проверку состояния прибора учета сточных вод в целях установления факта несанкционированного вмешательства в работу прибора учета (узла учета), устанавливать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(узла учета);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осуществлять контроль за наличием самовольного пользования Абонентами и (или) самовольного подключения Абонента к централизованной системе водоотведения и принимать меры по предотвращению самовольного пользования и (или) самовольного подключения Абонента к централизованной системе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временно прекращать или ограничивать водоотведение в случаях, предусмотренных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взимать с Абонента плату за отведение сточных вод сверх установленных нормативов по объему сточных вод и нормативов состава сточных вод, плату за негативное воздействие на работу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инициировать проведение сверки расчетов по настоящему договору;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прекращать отведение сточных вод в случаях и порядке, которые предусмотрены Федеральным законом "О водоснабжении и водоотведении" и Правилами холодного водоснабжения и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ж) иметь беспрепятственный доступ к канализационным сетям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предусмотренном разделом VI настоящего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12. Абонент обязан:</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обеспечивать эксплуатацию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в соответствии с требованиями нормативно-технических документов;</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обеспечивать сохранность пломб и знаков поверки на приборах учета, узлах учета, задвижках обводной линии, задвижках и других устройствах, находящихся в границах его эксплуатационной ответственности, не допускать хранение предметов, препятствующих доступу к узлам и приборам учета, несанкционированное вмешательство в работу прибора учета (узла учета), механические, химические, электромагнитные или иные воздействия, которые могут искажать показания приборов учета;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обеспечивать учет отводимых сточных вод в порядке, установленном разделом V настоящего договора, и в соответствии с Правилами организации коммерческого учета воды, сточных вод, если иное не предусмотрено настоящим договором;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устанавливать приборы учета сточных вод на границах эксплуатационной ответственности или в ином месте, определенном в настоящем договоре, в случае если установка таких приборов предусмотрена Правилами холодного водоснабжения и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соблюдать установленный настоящим договором режим водоотведения;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производить оплату по настоящему договору в порядке, размере и сроки, которые определены в соответствии с настоящим договором, в том числе в случае перехода прав на объекты, в отношении которых осуществляется водоотведение в соответствии с настоящим договором, до даты расторжения настоящего договора в соответствии с пунктом 61.1 настоящего договора, вносить плату за негативное воздействие на работу централизованной системы водоотведения и плату за нарушение нормативов по объему сточных вод и нормативов состава сточных вод, а также в случаях, установленных законодательством Российской Федерации, возмещать вред, причиненный водному объекту;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канализационным сетям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порядке и случаях, которые предусмотрены разделом VI настоящего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з) соблюдать нормативы по объему сточных вод и нормативы состава сточных вод, требования к составу и свойствам сточных вод, установленные в целях предотвращения негативного воздействия на работу централизованной системы водоотведения, а также принимать меры по соблюдению указанных нормативов и требований, в том числе обеспечивать реализацию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и) уведомлять организацию водопроводно-канализационного хозяйства в случае перехода прав на объекты, в отношении которых осуществляется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централизованной системе водоотведения, а также в случае предоставления третьим лицам прав владения и пользования такими объектами, устройствами или сооружениями в порядке, установленном  разделом IX.I настоящего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к) незамедлительно сообщать организации водопроводно-канализационного хозяйства обо всех повреждениях или неисправностях на канализационных сетях, сооружениях и устройствах, о нарушениях работы централизованной системы водоотведения либо о ситуациях (угрозах их возникновения), которые могут оказать негативное воздействие на работу централизованной системы водоотведения и причинить вред окружающей среде;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л) обеспечивать в сроки, установленные законодательством Российской Федерации, ликвидацию повреждений или неисправностей канализационных сетей, принадлежащих Абоненту на законном основании и (или) находящихся в границах его эксплуатационной ответственности, и устранять последствия таких повреждений, неисправностей;</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м) предоставлять иным абонентам и транзитным организациям возможность подключения (присоединения) к канализационным сетям, сооружениям и устройствам, принадлежащим Абоненту на законном основании, только по согласованию с организацией водопроводно-канализационного хозяйства;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н) представлять организации водопроводно-канализационного хозяйства сведения об абонентах, в отношении которых Абонент выполняет функции транзитной организации, по форме и в объеме, которые согласованы сторонами настоящего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о) не создавать препятствий для осуществления водоотведения в отношении абонентов и транзитных организаций, канализационные сети которых присоединены к канализационным сетям Абонента, или расположены в границах земельного участка Абонента, или проходят через помещения, принадлежащие Абоненту;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 не допускать возведения построек, гаражей, стоянок транспортных средств, складирования материалов, мусора, древопосадок, а также не осуществлять производство земляных работ в местах устройства централизованной системы водоотведения, в том числе в местах прокладки сетей, находящихся в границах эксплуатационной ответственности Абонента и охранных зонах таких сетей, без согласия организации водопроводно-канализационного хозяйства;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р)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-гаситель напора;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с) обеспечивать разработку плана снижения сбросов и плана по обеспечению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в случаях, предусмотренных Правилами холодного водоснабжения и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13. Абонент имеет право:</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получать от организации водопроводно-канализационного    хозяйства информацию о результатах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22 мая 2020 г. № 728 "Об утверждении Правил осуществления контроля состава и свойств сточных вод и о внесении изменений и признании утратившими силу некоторых актов Правительства Российской Федерации (далее – Правила осуществления контроля состава и свойств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получать от организации водопроводно-канализационного хозяйства информацию об изменении установленных тарифов на водоотведение;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привлекать третьих лиц для выполнения работ по устройству узла учета</w:t>
              <w:br/>
              <w:t>
да;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(да, нет - указать нужное)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инициировать проведение сверки расчетов по настоящему договору;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осуществлять в целях контроля состава и свойств сточных вод отбор проб сточных вод, в том числе параллельный отбор проб, принимать участие в отборе проб сточных вод, осуществляемом организацией водопроводно-канализационного хозяйства.</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 Порядок осуществления учета принимаемых</w:t>
              <w:br/>
              <w:t>
сточных вод, сроки и способы предоставления организации</w:t>
              <w:br/>
              <w:t>
водопроводно-канализационного хозяйства</w:t>
              <w:br/>
              <w:t>
показаний приборов учета</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14. Для учета объемов принятых сточных вод стороны используют приборы учета, если иное не предусмотрено Правилами организации коммерческого учета воды,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15. Сведения об узлах учета и приборах учета сточных вод и о местах отбора проб сточных вод указываются по форме согласно приложению № 4.</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16. Коммерческий учет сточных вод в узлах учета обеспечивает Абонент.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17. Количество принятых организацией водопроводно-канализационного хозяйства сточных вод определяется стороной, осуществляющей коммерческий учет поданной (полученной) холодной воды,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18. В случае отсутствия у Абонента приборов учета сточных вод Абонент обязан в течение 60 дней после подписания договора установить и ввести в эксплуатацию приборы учета сточных вод (распространяется только на категории абонентов, для которых установка приборов учета сточных вод является обязательной в соответствии с законодательством Российской Федерации).</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19. Сторона, осуществляющая коммерческий учет принятых (отведенных) сточных вод, снимает показания приборов учета на последнее число расчетного периода, установленного настоящим договором, либо осуществляет в случаях, предусмотренных Правилами организации коммерческого учета воды, сточных вод, расчет объема принятых (отведенных) сточных вод расчетным способом, вносит показания приборов учета в журнал учета принятых сточных вод, передает эти сведения другой стороне не позднее 02 числа, следующего за расчетным.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20. Передача сторонами сведений о показаниях приборов учета и другой информации осуществляется любым доступным способом (почтовое отправление, телеграмма, факсограмма, телефонограмма, информационно- телекоммуникационная сеть "Интернет"), позволяющим подтвердить получение такого уведомления адресатом.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VI. Порядок обеспечения Абонентами доступа</w:t>
              <w:br/>
              <w:t>
организации водопроводно-канализационного хозяйства</w:t>
              <w:br/>
              <w:t>
к канализационным сетям (контрольным канализационным</w:t>
              <w:br/>
              <w:t>
колодцам) и приборам учета сточных вод в целях определения</w:t>
              <w:br/>
              <w:t>
объема отводимых сточных вод, их состава и свойств</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21. Абонент обязан обеспечить представителям организации водопроводно-канализационного хозяйства или по ее указанию представителям иной организации доступ к канализационным сетям (контрольным канализационным колодцам) и иным объектам Абонента, местам отбора проб сточных вод, приборам учета (узлам учета) сточных вод и иным устройствам, которыми Абонент владеет и пользуется на праве собственности или на ином законном основании и (или) которые находятся в границах его эксплуатационной ответственности, в следующем порядке: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организация водопроводно-канализационного хозяйства или по ее указанию иная организация предварительно, не позднее 15 минут до начала процедуры обследования, или отбора проб, или начала работ на канализационных сетях,    оповещает Абонента о дате и времени посещения проверяющих с указанием списка проверяющих (при отсутствии у них служебных удостоверений или доверенности). Оповещение осуществляется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или доверенность на совершение соответствующих действий от имени организации водопроводно-канализационного хозяйства или иной организации;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доступ к канализационным сетям (контрольным канализационным колодцам) и приборам учета сточных вод обеспечивается представителям организации водопроводно-канализационного хозяйства или по ее указанию представителям иной организации только в установленных местах отбора проб, местах установки узлов учета, приборов учета и иных устройств, предусмотренных настоящим договором;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Абонент вправе принимать участие в проведении организацией водопроводно-канализационного хозяйства всех проверок, предусмотренных настоящим разделом, а также присутствовать при проведении организацией водопроводно-канализационного хозяйства работ на канализационных сетях;</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д) отказ в доступе представителям (недопуск представителей) организации водопроводно-канализационного хозяйства или по ее указанию представителям иной организации приравнивается к самовольному пользованию централизованной системой водоотведения, что влечет за собой применение расчетного способа при определении количества принятых сточных вод за весь период нарушения. Продолжительность периода нарушения определяется в соответствии с Правилами организации коммерческого учета воды,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е) в случае невозможности отбора проб сточных вод из мест отбора проб сточных вод, предусмотренных настоящим договором, отбор сточных вод осуществляется в порядке, установленном Правилами осуществления контроля состава и свойств сточных вод.</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VII. Контроль состава и свойств сточных вод, места</w:t>
              <w:br/>
              <w:t>
и порядок отбора проб сточных вод</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22. Контроль состава и свойств сточных вод в отношении Абонента осуществляется в соответствии с Правилами осуществления контроля состава и свойств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23. Сведения об узлах учета и приборах учета сточных вод и о местах отбора проб сточных вод приводятся по форме согласно приложению №4к настоящему договору.</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center"/>
          </w:tcPr>
          <w:p>
            <w:pPr>
              <w:wordWrap w:val="1"/>
              <w:jc w:val="center"/>
              <w:rPr>
                <w:rFonts w:ascii="Arial" w:hAnsi="Arial"/>
                <w:b/>
                <w:sz w:val="18"/>
                <w:szCs w:val="18"/>
              </w:rPr>
            </w:pPr>
            <w:r>
              <w:rPr>
                <w:rFonts w:ascii="Arial" w:hAnsi="Arial"/>
                <w:b/>
                <w:sz w:val="18"/>
                <w:szCs w:val="18"/>
              </w:rPr>
              <w:t>VIII. Порядок контроля за соблюдением  показателей декларации </w:t>
              <w:br/>
              <w:t>
о составе и свойствах сточных вод, нормативов по объему сточных вод и нормативов состава </w:t>
              <w:br/>
              <w:t>
сточных вод, требований к составу и свойствам сточных вод, установленных в целях </w:t>
              <w:br/>
              <w:t>
предотвращения негативного воздействия на работу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24. Нормативы по объему сточных вод и нормативы состава сточных вод устанавливаются в соответствии  с   законодательством Российской Федерации. Организация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городского округа нормативов водоотведения по объему сточных вод и нормативов состава сточных вод в течение 5 рабочих дней со дня получения такой информации от уполномоченных органов исполнительной   власти, органов местного самоуправления. Сведения о нормативах по объему сточных вод, установленных для Абонента, указываются по форме согласно приложению № 5.</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25. Сведения о нормативах состава сточных вод и требованиях к составу и свойствам сточных вод, установленных для Абонента в целях предотвращения негативного воздействия на работу централизованной системы водоотведения, указываются по форме согласно приложению № 6.</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26. Контроль за соблюдением Абонентами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состава сточных вод, а также показателей декларации осуществляет организация водопроводно-канализационного хозяйства или по ее поручению иная организация, а также транзитная организация, осуществляющая транспортировку сточных вод Абонента.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ходе осуществления контроля за соблюдением Абонентами установленных для него нормативов по объему сточных вод организация водопроводно-канализационного хозяйства или по ее поручению иная организация ежемесячно определяет объем отведенных (принятых) сточных вод Абонента сверх установленного для него норматива по объему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27. 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сточных вод за вычетом объемов поверхностных сточных вод, а также объемов сточных вод, для которых не устанавливаются нормативы по объему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28. При превышении Абонентами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объему сточных вод,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 Федерации от 13 мая 2013 г. № 406 "О государственном регулировании тарифов в сфере водоснабжения и водоотведения".</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IX. Условия прекращения или ограничения приема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29. Организация водопроводно-канализационного хозяйства вправе осуществить временное прекращение или ограничение приема сточных вод Абонента только в случаях, установленных Федеральным законом "О водоснабжении и водоотведении", и при условии соблюдения порядка временного прекращения или ограничения приема сточных вод, установленного Правилами холодного водоснабжения и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30. Организация водопроводно-канализационного хозяйства в течение одних суток со дня временного прекращения или ограничения приема сточных вод уведомляет о таком прекращении или ограничении: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Абонента;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орган местного самоуправления поселения, городского округа на территории которого расположены объекты Абонента;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территориальный отдел Управления Роспотребнадзора по Республике Саха (Якутия) по подведомственности.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лиц, с которыми организацией водопроводно-канализационного хозяйства заключены договоры по транспортировке сточных вод, если временное прекращение или ограничение приема сточных вод Абонента приведет к временному прекращению или ограничению транспортировки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31. Уведомление организацией водопроводно-канализационного хозяйства о временном прекращении или ограничении приема сточных вод, а также уведомление о снятии такого прекращения или ограничения и возобновлении приема сточных вод направляются соответствующим лицам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IX.I. Порядок уведомления организации водопроводно-канализационного хозяйства </w:t>
              <w:br/>
              <w:t>
о переходе прав на объекты, в отношении которых осуществляется водоотведение</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31.1. В случае перехода прав на объекты, в отношении которых осуществляется водоотведение в соответствии с настоящим договором, прав на объекты, устройства и сооружения, предназначенные для подключения (технологического присоединения) к централизованной системе водоотведения, а также в случае предоставления прав владения и (или) пользования такими объектами, устройствами или сооружениями третьим лицам Абонент в течение 3 рабочих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эти права, документов, являющихся основанием перехода прав, и вида переданного права с приложением заверенных надлежащим образом копий документов, являющихся основанием перехода прав.</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Такое уведомление направляется любым доступным способом, позволяющим подтвердить получение уведомления адресатом.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31.2. Уведомление считается полученным организацией водопроводно-канализационного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 либо с иной даты в соответствии с выбранным способом направления.</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 Порядок декларирования состава и свойств сточных вод (настоящий раздел </w:t>
              <w:br/>
              <w:t>
включается в договор при условии его заключения с Абонентами, </w:t>
              <w:br/>
              <w:t>
который обязан подавать декларацию в соответствии </w:t>
              <w:br/>
              <w:t>
с требованиями законодательства Российской Федерации)</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32. В целях обеспечения контроля состава и свойств сточных вод Абонент подает в организацию водопроводно-канализационного хозяйства декларацию.</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33. Декларация разрабатывается Абонентами и представляется в организацию водопроводно-канализационного хозяйства не позднее 6 месяцев со дня заключения Абонентами с организацией водопроводно-канализационного хозяйства настоящего договора. Декларация на очередной год подается Абонентами до 1 ноября предшествующего года.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34. К декларации прилагается заверенная Абонентами схема внутриплощадочных канализационных сетей с указанием колодцев присоединения к централизованной системе водоотведения и канализационных колодцев, предназначенных для контроля состава и свойств сточных вод. При наличии нескольких канализационных выпусков в централизованную систему водоотведения в декларации указываются состав и свойства сточных вод по каждому из таких канализационных выпусков. Значения фактических концентраций и фактических свойств сточных вод в составе декларации определяются Абонентами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35. Значения фактических концентраций и фактических свойств сточных вод в составе декларации определяются Абонентами в интервале от минимального до максимального значения результатов анализов состава и свойств проб сточных вод, при этом в обязательном порядке: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исключаются значения запрещенного сброса;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не подлежат указанию нулевые значения фактических концентраций или фактических свойств сточных вод.</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36. Перечень загрязняющих веществ, для выявления которых выполняются определения состава и свойств сточных вод, определяется нормативами состава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37. Декларация прекращает действие в следующих случаях:</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выявление организацией водопроводно-канализационного хозяйства в ходе осуществления контроля состава и свойств сточных вод превышения Абонентами нормативов состава сточных вод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Абонентами в декларации;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выявление 2 раза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превышающего в 2 раза и более значение фактической концентрации загрязняющего вещества или фактического показателя свойств сточных вод Абонента, заявленные Абонентами в декларации.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38. В течение 3 месяцев со дня оповещения Абонента организацией, осуществляющей водоотведение, о наступлении хотя бы одного из случаев, указанных в пункте 37 настоящего договора,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случаев.</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39. В случае если Абонентами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c>
          <w:tcPr>
            <w:tcW w:w="9936" w:type="dxa"/>
            <w:gridSpan w:val="10"/>
            <w:shd w:val="clear" w:color="FFFFFF" w:fill="auto"/>
            <w:textDirection w:val="lrTb"/>
            <w:vAlign w:val="center"/>
          </w:tcPr>
          <w:p>
            <w:pPr>
              <w:wordWrap w:val="1"/>
              <w:jc w:val="center"/>
              <w:rPr>
                <w:rFonts w:ascii="Arial" w:hAnsi="Arial"/>
                <w:b/>
                <w:sz w:val="18"/>
                <w:szCs w:val="18"/>
              </w:rPr>
            </w:pPr>
            <w:r>
              <w:rPr>
                <w:rFonts w:ascii="Arial" w:hAnsi="Arial"/>
                <w:b/>
                <w:sz w:val="18"/>
                <w:szCs w:val="18"/>
              </w:rPr>
              <w:t>XI. Условия отведения (приема) поверхностных сточных вод в централизованные системы водоотведения </w:t>
              <w:br/>
              <w:t>
(настоящий раздел включается в договор в случае, если организация водопроводно-канализационного </w:t>
              <w:br/>
              <w:t>
хозяйства осуществляет прием поверхностных сточных вод, поступающих с земельных участков, </w:t>
              <w:br/>
              <w:t>
из зданий и сооружений, принадлежащих Абоненту)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40. Организация водопроводно-канализационного хозяйства в соответствии с условиями настоящего договора обязуется осуществлять прием поверхностных сточных вод Абонента в централизованную (общесплавную, ливневую) систему водоотведения и обеспечивать их транспортировку, очистку и сброс в водный объект, а Абонент обязуется соблюдать требования к составу и свойствам отводимых поверхностных сточных вод, установленные законодательством Российской Федерации, и производить организации водопроводно-канализационного хозяйства оплату отведения (приема) поверхностных сточных вод в сроки, порядке и размере, которые определены в настоящем договоре.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41. Отведение поверхностных сточных вод осуществляется с непосредственным подключением или без непосредственного подключения к централизованной системе водоотведения.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42. Сведения о точках приема поверхностных сточных вод Абонента указываются по форме согласно приложению № 7.</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XII. Условия отведения (приема) сточных</w:t>
              <w:br/>
              <w:t>
вод иных лиц, объекты которых подключены к канализационным</w:t>
              <w:br/>
              <w:t>
сетям, принадлежащим Абоненту</w:t>
              <w:br/>
              <w:t>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43. Абонент представляет организации водопроводно-канализационного хозяйства сведения о лицах, объекты которых подключены к канализационным сетям, принадлежащим Абоненту.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44. Сведения о лицах, объекты которых подключены к канализационным сетям, принадлежащим Абоненту, представляются в письменном виде с указанием наименования таких лиц, срока и схемы подключения к канализационным сетям, места отбора проб сточных вод. Организация водопроводно-канализационного хозяйства вправе запросить у лиц, объекты которых подключены к канализационным сетям, принадлежащим Абоненту, иные необходимые сведения и документы.</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45. Организация водопроводно-канализационного хозяйства осуществляет отведение сточных вод юридических и физических лиц, объекты которых подключены к канализационным сетям Абонента, при условии, что такие лица заключили договор водоотведения или единый договор холодного водоснабжения и водоотведения с организацией водопроводно- канализационного хозяйства.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46. Абонент несет в полном объеме ответственность за нарушения условий настоящего договора, произошедшие по вине юридических и физических лиц, объекты которых подключены к канализационным сетям Абонента, но которые не имеют договора водоотведения или единого договора холодного водоснабжения и водоотведения с организацией водопроводно-канализационного хозяйства.</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XIII. Порядок урегулирования споров и разногласий</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47. Все споры и разногласия, возникающие между сторонами, связанные с исполнением настоящего договора, подлежат досудебному урегулированию в претензионном порядке.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48. Претензия направляется по адресу стороны, указанному в реквизитах договора, и должна содержать:</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а) сведения о заявителе (наименование, местонахождение (адрес); </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б) содержание спора, разногласий;</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в) сведения об объекте (объектах), в отношении которого возникли спор, разногласия (полное наименование, местонахождение, правомочие на объект, которым обладает сторона, направившая претензию);</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г) другие сведения по усмотрению стороны.</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49. Сторона, получившая претензию, в течение 10 рабочих дней со дня поступления претензии обязана ее рассмотреть и дать ответ.</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50. Стороны составляют акт об урегулировании спора или разногласий.</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51. В случае недостижения сторонами соглашения спор и разногласия, возникшие из настоящего договора, подлежат урегулированию в суде в установленном законодательством Российской Федерации порядке.</w:t>
            </w:r>
          </w:p>
        </w:tc>
      </w:tr>
      <w:tr>
        <w:trPr>
          <w:trHeight w:val="135" w:hRule="atLeast"/>
        </w:trPr>
        <w:tc>
          <w:tcPr>
            <w:tcW w:w="499" w:type="dxa"/>
            <w:shd w:val="clear" w:color="FFFFFF" w:fill="auto"/>
            <w:textDirection w:val="lrTb"/>
            <w:vAlign w:val="top"/>
          </w:tcPr>
          <w:p>
            <w:pPr>
              <w:wordWrap w:val="1"/>
              <w:jc w:val="center"/>
              <w:rPr>
                <w:rFonts w:ascii="Arial" w:hAnsi="Arial"/>
                <w:sz w:val="18"/>
                <w:szCs w:val="18"/>
              </w:rPr>
            </w:pPr>
          </w:p>
        </w:tc>
        <w:tc>
          <w:tcPr>
            <w:tcW w:w="1654" w:type="dxa"/>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XIV. Ответственность сторон</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52.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53.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договору в соответствующем расчетном периоде.</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54. В случае неисполнения либо ненадлежащего исполнения Абонентами обязательств по оплате настоящего договора организация водопроводно-канализационного хозяйства вправе потребовать от Абонента уплаты пени в размере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54.1 В случае неисполнения либо ненадлежащего исполнения Абонентами обязанности по обеспечению доступа организации водопроводно-канализационного хозяйства к канализационным сетям и устройствам на них для проведения работ Абонент несет обязанность по возмещению причиненных в результате этого организации водопроводно-канализационного хозяйства, другим абонентам, транзитным организациям и (или) иным лицам убытков.</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XV. Обстоятельства непреодолимой силы</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55.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 и если эти обстоятельства повлияли на исполнение настоящего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При этом срок исполнения обязательств по настоящему договору отодвигается соразмерно времени, в течение которого действовали такие обстоятельства, а также последствиям, вызванным этими обстоятельствами.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56.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 xml:space="preserve"> XVI. Действие договора</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57. Настоящий договор вступает в силу с "01" января "2023 " г.</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58. Настоящий договор заключен на срок по "31" декабря "2023 " г.</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59.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60. Настоящий договор может быть расторгнут до окончания срока его действия по обоюдному согласию сторон.</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61.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договора или его изменения в одностороннем порядке договор считается расторгнутым или измененным.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61.1. В случае перехода прав на объекты, в отношении которых осуществляется водоотведение в соответствии с настоящим договором, договор считается расторгнутым с даты, указанной в уведомлении о переходе прав на объекты, представленном  в организацию водопроводно-канализационного хозяйства в порядке, предусмотренном разделом IX.I настоящего договора, но не ранее даты получения такого уведомления организацией водопроводно-канализационного хозяйства либо с даты заключения договора водоотведения или единого договора холодного водоснабжения и водоотведения с лицом, к которому перешли эти права, в зависимости от того, какая из указанных дат наступила раньше.</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XVII. Прочие условия</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62. Изменения, которые вносятся в настоящий договор,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63.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64. При исполнении настоящего договора стороны обязуются руководствоваться законодательством Российской Федерации.</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65. Настоящий договор составлен в двух экземплярах, имеющих одинаковую юридическую силу.</w:t>
            </w:r>
          </w:p>
        </w:tc>
      </w:tr>
      <w:tr>
        <w:trPr>
          <w:trHeight w:val="60" w:hRule="atLeast"/>
        </w:trPr>
        <w:tc>
          <w:tcPr>
            <w:tcW w:w="9936" w:type="dxa"/>
            <w:gridSpan w:val="10"/>
            <w:shd w:val="clear" w:color="FFFFFF" w:fill="auto"/>
            <w:textDirection w:val="lrTb"/>
            <w:vAlign w:val="bottom"/>
          </w:tcPr>
          <w:p>
            <w:pPr>
              <w:wordWrap w:val="1"/>
              <w:jc w:val="both"/>
              <w:rPr>
                <w:rFonts w:ascii="Arial" w:hAnsi="Arial"/>
                <w:sz w:val="18"/>
                <w:szCs w:val="18"/>
              </w:rPr>
            </w:pPr>
            <w:r>
              <w:rPr>
                <w:rFonts w:ascii="Arial" w:hAnsi="Arial"/>
                <w:sz w:val="18"/>
                <w:szCs w:val="18"/>
              </w:rPr>
              <w:t>66. Приложения к настоящему договору являются его неотъемлемой частью.</w:t>
            </w:r>
          </w:p>
        </w:tc>
      </w:tr>
      <w:tr>
        <w:trPr>
          <w:trHeight w:val="135" w:hRule="atLeast"/>
        </w:trPr>
        <w:tc>
          <w:tcPr>
            <w:tcW w:w="3098" w:type="dxa"/>
            <w:gridSpan w:val="3"/>
            <w:shd w:val="clear" w:color="FFFFFF" w:fill="auto"/>
            <w:textDirection w:val="lrTb"/>
            <w:vAlign w:val="top"/>
          </w:tcPr>
          <w:p>
            <w:pPr>
              <w:wordWrap w:val="1"/>
              <w:jc w:val="center"/>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945" w:type="dxa"/>
            <w:shd w:val="clear" w:color="FFFFFF" w:fill="auto"/>
            <w:textDirection w:val="lrTb"/>
            <w:vAlign w:val="bottom"/>
          </w:tcPr>
          <w:p>
            <w:pPr>
              <w:wordWrap w:val="1"/>
              <w:jc w:val="left"/>
              <w:rPr>
                <w:rFonts w:ascii="Arial" w:hAnsi="Arial"/>
                <w:sz w:val="18"/>
                <w:szCs w:val="18"/>
              </w:rPr>
            </w:pPr>
          </w:p>
        </w:tc>
        <w:tc>
          <w:tcPr>
            <w:tcW w:w="1037" w:type="dxa"/>
            <w:shd w:val="clear" w:color="FFFFFF" w:fill="auto"/>
            <w:textDirection w:val="lrTb"/>
            <w:vAlign w:val="bottom"/>
          </w:tcPr>
          <w:p>
            <w:pPr>
              <w:wordWrap w:val="1"/>
              <w:jc w:val="left"/>
              <w:rPr>
                <w:rFonts w:ascii="Arial" w:hAnsi="Arial"/>
                <w:sz w:val="18"/>
                <w:szCs w:val="18"/>
              </w:rPr>
            </w:pPr>
          </w:p>
        </w:tc>
        <w:tc>
          <w:tcPr>
            <w:tcW w:w="1076" w:type="dxa"/>
            <w:shd w:val="clear" w:color="FFFFFF" w:fill="auto"/>
            <w:textDirection w:val="lrTb"/>
            <w:vAlign w:val="bottom"/>
          </w:tcPr>
          <w:p>
            <w:pPr>
              <w:wordWrap w:val="1"/>
              <w:jc w:val="left"/>
              <w:rPr>
                <w:rFonts w:ascii="Arial" w:hAnsi="Arial"/>
                <w:sz w:val="18"/>
                <w:szCs w:val="18"/>
              </w:rPr>
            </w:pPr>
          </w:p>
        </w:tc>
      </w:tr>
      <w:tr>
        <w:trPr>
          <w:trHeight w:val="60" w:hRule="atLeast"/>
        </w:trPr>
        <w:tc>
          <w:tcPr>
            <w:tcW w:w="9936" w:type="dxa"/>
            <w:gridSpan w:val="10"/>
            <w:shd w:val="clear" w:color="FFFFFF" w:fill="auto"/>
            <w:textDirection w:val="lrTb"/>
            <w:vAlign w:val="bottom"/>
          </w:tcPr>
          <w:p>
            <w:pPr>
              <w:wordWrap w:val="1"/>
              <w:jc w:val="center"/>
              <w:rPr>
                <w:rFonts w:ascii="Arial" w:hAnsi="Arial"/>
                <w:b/>
                <w:sz w:val="18"/>
                <w:szCs w:val="18"/>
              </w:rPr>
            </w:pPr>
            <w:r>
              <w:rPr>
                <w:rFonts w:ascii="Arial" w:hAnsi="Arial"/>
                <w:b/>
                <w:sz w:val="18"/>
                <w:szCs w:val="18"/>
              </w:rPr>
              <w:t>XVIII. Адреса и платежные реквизиты сторон</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both"/>
              <w:rPr>
                <w:rFonts w:ascii="Arial" w:hAnsi="Arial"/>
                <w:b/>
                <w:sz w:val="18"/>
                <w:szCs w:val="18"/>
              </w:rPr>
            </w:pPr>
            <w:r>
              <w:rPr>
                <w:rFonts w:ascii="Arial" w:hAnsi="Arial"/>
                <w:b/>
                <w:sz w:val="18"/>
                <w:szCs w:val="18"/>
              </w:rPr>
              <w:t>Организация водопроводно-канализационного хозяйства:</w:t>
            </w:r>
          </w:p>
        </w:tc>
        <w:tc>
          <w:tcPr>
            <w:tcW w:w="4948"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both"/>
              <w:rPr>
                <w:rFonts w:ascii="Arial" w:hAnsi="Arial"/>
                <w:b/>
                <w:sz w:val="18"/>
                <w:szCs w:val="18"/>
              </w:rPr>
            </w:pPr>
            <w:r>
              <w:rPr>
                <w:rFonts w:ascii="Arial" w:hAnsi="Arial"/>
                <w:b/>
                <w:sz w:val="18"/>
                <w:szCs w:val="18"/>
              </w:rPr>
              <w:t>Абонент:</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Акционерное общество "Теплоэнергосервис"</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Автономная некоммерческая дошкольная образовательная организация "Алмазик"</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ИНН 1435191592 / КПП 143302001</w:t>
            </w:r>
          </w:p>
        </w:tc>
        <w:tc>
          <w:tcPr>
            <w:tcW w:w="4948"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ИНН 1433025906 / КПП 143301001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677001, Респ Саха /Якутия/, г Якутск, пер Энергетиков, дом № 1-а</w:t>
            </w:r>
          </w:p>
        </w:tc>
        <w:tc>
          <w:tcPr>
            <w:tcW w:w="4948"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Юридический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678185, Респ Саха /Якутия/, у Мирнинский, пгт Чернышевский, кв-л Монтажников</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Фактический адрес: 678170, Респ Саха /Якутия/, у Мирнинский, г Мирный, ул Ленина, д. 14А</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Факс: </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Факс: 8(41136)31608</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Тел.: +7 (41136) 73402, доб.  (4112) 49-84-09</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Тел.: 8(41136)42527</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E-mail: Priem-VF@tes.yakutskenergo.ru</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E-mail:  almazik@anodo.ru</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Платежные реквизиты:</w:t>
            </w:r>
          </w:p>
        </w:tc>
        <w:tc>
          <w:tcPr>
            <w:tcW w:w="4948"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Платежные реквизиты:</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ЯКУТСКОЕ ОТДЕЛЕНИЕ №8603 ПАО СБЕРБАНК г.Якутск</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Якутское отделение №8603 Байкальского банка ПАО "СБЕРБАНК" в г.Якутске</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БИК 049805609</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БИК 049805609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Корр.счет 30101810400000000609</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Корр.счет 30101810400000000609</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Расчетный счет 40702810976030100511</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Расчетный счет 40703810476030000071</w:t>
            </w:r>
          </w:p>
        </w:tc>
      </w:tr>
      <w:tr>
        <w:trPr>
          <w:trHeight w:val="60" w:hRule="atLeast"/>
        </w:trPr>
        <w:tc>
          <w:tcPr>
            <w:tcW w:w="4988" w:type="dxa"/>
            <w:gridSpan w:val="5"/>
            <w:tcBorders>
              <w:top w:val="single" w:sz="5" w:space="0" w:color="808080"/>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Директор филиала</w:t>
            </w:r>
          </w:p>
        </w:tc>
        <w:tc>
          <w:tcPr>
            <w:tcW w:w="4948" w:type="dxa"/>
            <w:gridSpan w:val="5"/>
            <w:tcBorders>
              <w:top w:val="single" w:sz="5" w:space="0" w:color="808080"/>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Исполнительный директор</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________________________________</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__________________________________</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Фаткин А. А.</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Мироненко А.В.</w:t>
            </w: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both"/>
              <w:rPr>
                <w:rFonts w:ascii="Arial" w:hAnsi="Arial"/>
                <w:sz w:val="18"/>
                <w:szCs w:val="18"/>
              </w:rPr>
            </w:pPr>
            <w:r>
              <w:rPr>
                <w:rFonts w:ascii="Arial" w:hAnsi="Arial"/>
                <w:sz w:val="18"/>
                <w:szCs w:val="18"/>
              </w:rPr>
              <w:t>По доверенности № 124 от 07.06.2022г Кузнецова Н.В.</w:t>
            </w:r>
          </w:p>
        </w:tc>
        <w:tc>
          <w:tcPr>
            <w:tcW w:w="945" w:type="dxa"/>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945" w:type="dxa"/>
            <w:shd w:val="clear" w:color="FFFFFF" w:fill="auto"/>
            <w:textDirection w:val="lrTb"/>
            <w:vAlign w:val="bottom"/>
          </w:tcPr>
          <w:p>
            <w:pPr>
              <w:wordWrap w:val="1"/>
              <w:jc w:val="both"/>
              <w:rPr>
                <w:rFonts w:ascii="Arial" w:hAnsi="Arial"/>
                <w:sz w:val="18"/>
                <w:szCs w:val="18"/>
              </w:rPr>
            </w:pPr>
          </w:p>
        </w:tc>
        <w:tc>
          <w:tcPr>
            <w:tcW w:w="1037" w:type="dxa"/>
            <w:shd w:val="clear" w:color="FFFFFF" w:fill="auto"/>
            <w:textDirection w:val="lrTb"/>
            <w:vAlign w:val="bottom"/>
          </w:tcPr>
          <w:p>
            <w:pPr>
              <w:wordWrap w:val="1"/>
              <w:jc w:val="both"/>
              <w:rPr>
                <w:rFonts w:ascii="Arial" w:hAnsi="Arial"/>
                <w:sz w:val="18"/>
                <w:szCs w:val="18"/>
              </w:rPr>
            </w:pPr>
          </w:p>
        </w:tc>
        <w:tc>
          <w:tcPr>
            <w:tcW w:w="1076" w:type="dxa"/>
            <w:shd w:val="clear" w:color="FFFFFF" w:fill="auto"/>
            <w:textDirection w:val="lrTb"/>
            <w:vAlign w:val="bottom"/>
          </w:tcPr>
          <w:p>
            <w:pPr>
              <w:wordWrap w:val="1"/>
              <w:jc w:val="both"/>
              <w:rPr>
                <w:rFonts w:ascii="Arial" w:hAnsi="Arial"/>
                <w:sz w:val="18"/>
                <w:szCs w:val="18"/>
              </w:rPr>
            </w:pPr>
          </w:p>
        </w:tc>
      </w:tr>
      <w:tr>
        <w:trPr>
          <w:trHeight w:val="60" w:hRule="atLeast"/>
        </w:trPr>
        <w:tc>
          <w:tcPr>
            <w:tcW w:w="4988" w:type="dxa"/>
            <w:gridSpan w:val="5"/>
            <w:tcBorders>
              <w:lef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 ____________________ 20___ г.</w:t>
            </w:r>
          </w:p>
        </w:tc>
        <w:tc>
          <w:tcPr>
            <w:tcW w:w="4948" w:type="dxa"/>
            <w:gridSpan w:val="5"/>
            <w:tcBorders>
              <w:left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"___" ____________________ 20___ г.</w:t>
            </w:r>
          </w:p>
        </w:tc>
      </w:tr>
      <w:tr>
        <w:trPr>
          <w:trHeight w:val="60" w:hRule="atLeast"/>
        </w:trPr>
        <w:tc>
          <w:tcPr>
            <w:tcW w:w="4988" w:type="dxa"/>
            <w:gridSpan w:val="5"/>
            <w:tcBorders>
              <w:left w:val="single" w:sz="5" w:space="0" w:color="808080"/>
              <w:bottom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 xml:space="preserve">                        М.П.</w:t>
            </w:r>
          </w:p>
        </w:tc>
        <w:tc>
          <w:tcPr>
            <w:tcW w:w="945" w:type="dxa"/>
            <w:tcBorders>
              <w:left w:val="single" w:sz="5" w:space="0" w:color="808080"/>
              <w:bottom w:val="single" w:sz="5" w:space="0" w:color="808080"/>
            </w:tcBorders>
            <w:shd w:val="clear" w:color="FFFFFF" w:fill="auto"/>
            <w:textDirection w:val="lrTb"/>
            <w:vAlign w:val="top"/>
          </w:tcPr>
          <w:p>
            <w:pPr>
              <w:wordWrap w:val="1"/>
              <w:jc w:val="left"/>
              <w:rPr>
                <w:rFonts w:ascii="Arial" w:hAnsi="Arial"/>
                <w:sz w:val="18"/>
                <w:szCs w:val="18"/>
              </w:rPr>
            </w:pPr>
          </w:p>
        </w:tc>
        <w:tc>
          <w:tcPr>
            <w:tcW w:w="4003" w:type="dxa"/>
            <w:gridSpan w:val="4"/>
            <w:tcBorders>
              <w:bottom w:val="single" w:sz="5" w:space="0" w:color="808080"/>
              <w:right w:val="single" w:sz="5" w:space="0" w:color="808080"/>
            </w:tcBorders>
            <w:shd w:val="clear" w:color="FFFFFF" w:fill="auto"/>
            <w:textDirection w:val="lrTb"/>
            <w:vAlign w:val="top"/>
          </w:tcPr>
          <w:p>
            <w:pPr>
              <w:wordWrap w:val="1"/>
              <w:jc w:val="left"/>
              <w:rPr>
                <w:rFonts w:ascii="Arial" w:hAnsi="Arial"/>
                <w:sz w:val="18"/>
                <w:szCs w:val="18"/>
              </w:rPr>
            </w:pPr>
            <w:r>
              <w:rPr>
                <w:rFonts w:ascii="Arial" w:hAnsi="Arial"/>
                <w:sz w:val="18"/>
                <w:szCs w:val="18"/>
              </w:rPr>
              <w:t>М.П.</w:t>
            </w:r>
          </w:p>
        </w:tc>
      </w:tr>
    </w:tbl>
    <w:sectPr>
      <w:footerReference w:type="default" r:id="rId9"/>
      <w:footerReference w:type="first" r:id="rId11"/>
      <w:pgSz w:w="11907" w:h="16839" w:orient="portrait"/>
      <w:pgNumType w:start="1"/>
      <w:pgMar w:top="567" w:right="963" w:bottom="850" w:left="963"/>
    </w:sectPr>
  </w:body>
</w:document>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8"/>
          </w:rPr>
          <w:t xml:space="preserve">Договор № 312118-С</w:t>
        </w:r>
        <w:r>
          <w:tab/>
        </w:r>
        <w:r>
          <w:ptab w:alignment="center" w:relativeTo="margin" w:leader="none"/>
        </w:r>
        <w:r>
          <w:rPr>
            <w:color w:val="000000"/>
            <w:rFonts w:ascii="Arial Narrow" w:hAnsi="Arial Narrow"/>
            <w:sz w:val="18"/>
          </w:rPr>
          <w:t xml:space="preserve">..............................................................................................................................................................................................................................................</w:t>
        </w:r>
        <w:r>
          <w:tab/>
        </w:r>
        <w:r>
          <w:ptab w:alignment="right" w:relativeTo="margin" w:leader="none"/>
        </w:r>
        <w:r>
          <w:rPr>
            <w:color w:val="000000"/>
            <w:rFonts w:ascii="Arial Narrow" w:hAnsi="Arial Narrow"/>
            <w:sz w:val="18"/>
          </w:rPr>
          <w:t xml:space="preserve">Стр. </w:t>
        </w:r>
        <w:r>
          <w:rPr>
            <w:color w:val="000000"/>
            <w:rFonts w:ascii="Arial Narrow" w:hAnsi="Arial Narrow"/>
            <w:sz w:val="18"/>
          </w:rPr>
          <w:r>
            <w:rPr>
              <w:rFonts w:ascii="Arial Narrow" w:hAnsi="Arial Narrow"/>
              <w:sz w:val="18"/>
              <w:fldChar w:fldCharType="begin"/>
            </w:rPr>
          </w:r>
          <w:r>
            <w:rPr>
              <w:rFonts w:ascii="Arial Narrow" w:hAnsi="Arial Narrow"/>
              <w:sz w:val="18"/>
              <w:instrText> PAGE   \* MERGEFORMAT </w:instrText>
            </w:rPr>
          </w:r>
          <w:r>
            <w:rPr>
              <w:rFonts w:ascii="Arial Narrow" w:hAnsi="Arial Narrow"/>
              <w:sz w:val="18"/>
              <w:fldChar w:fldCharType="separate"/>
            </w:rPr>
          </w:r>
          <w:r>
            <w:rPr>
              <w:rFonts w:ascii="Arial Narrow" w:hAnsi="Arial Narrow"/>
              <w:sz w:val="18"/>
              <w:fldChar w:fldCharType="end"/>
            </w:rPr>
          </w:r>
        </w:r>
        <w:r>
          <w:rPr>
            <w:color w:val="000000"/>
            <w:rFonts w:ascii="Arial Narrow" w:hAnsi="Arial Narrow"/>
            <w:sz w:val="18"/>
          </w:rPr>
          <w:t xml:space="preserve"> из </w:t>
        </w:r>
        <w:r>
          <w:rPr>
            <w:color w:val="000000"/>
            <w:rFonts w:ascii="Arial Narrow" w:hAnsi="Arial Narrow"/>
            <w:sz w:val="18"/>
          </w:rPr>
          <w:r>
            <w:rPr>
              <w:rFonts w:ascii="Arial Narrow" w:hAnsi="Arial Narrow"/>
              <w:sz w:val="18"/>
              <w:fldChar w:fldCharType="begin"/>
            </w:rPr>
          </w:r>
          <w:r>
            <w:rPr>
              <w:rFonts w:ascii="Arial Narrow" w:hAnsi="Arial Narrow"/>
              <w:sz w:val="18"/>
              <w:instrText> NUMPAGES   \* MERGEFORMAT </w:instrText>
            </w:rPr>
          </w:r>
          <w:r>
            <w:rPr>
              <w:rFonts w:ascii="Arial Narrow" w:hAnsi="Arial Narrow"/>
              <w:sz w:val="18"/>
              <w:fldChar w:fldCharType="separate"/>
            </w:rPr>
          </w:r>
          <w:r>
            <w:rPr>
              <w:rFonts w:ascii="Arial Narrow" w:hAnsi="Arial Narrow"/>
              <w:sz w:val="18"/>
              <w:fldChar w:fldCharType="end"/>
            </w:rPr>
          </w:r>
        </w:r>
      </w:p>
    </w:sdtContent>
  </w:sdt>
  <w:p>
    <w:pPr>
      <w:pStyle w:val="a4"/>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w:sdt>
    <w:sdtPr>
      <w:docPartObj>
        <w:docPartGallery w:val="Page Numbers (Top of Page)"/>
      </w:docPartObj>
    </w:sdtPr>
    <w:sdtContent>
      <w:p>
        <w:pPr>
          <w:pStyle w:val="a4"/>
        </w:pPr>
        <w:r>
          <w:rPr>
            <w:color w:val="000000"/>
            <w:rFonts w:ascii="Arial Narrow" w:hAnsi="Arial Narrow"/>
            <w:sz w:val="18"/>
          </w:rPr>
          <w:t xml:space="preserve">Договор № 312118-С</w:t>
        </w:r>
        <w:r>
          <w:tab/>
        </w:r>
        <w:r>
          <w:ptab w:alignment="center" w:relativeTo="margin" w:leader="none"/>
        </w:r>
        <w:r>
          <w:rPr>
            <w:color w:val="000000"/>
            <w:rFonts w:ascii="Arial Narrow" w:hAnsi="Arial Narrow"/>
            <w:sz w:val="18"/>
          </w:rPr>
          <w:t xml:space="preserve">..............................................................................................................................................................................................................................................</w:t>
        </w:r>
        <w:r>
          <w:tab/>
        </w:r>
        <w:r>
          <w:ptab w:alignment="right" w:relativeTo="margin" w:leader="none"/>
        </w:r>
        <w:r>
          <w:rPr>
            <w:color w:val="000000"/>
            <w:rFonts w:ascii="Arial Narrow" w:hAnsi="Arial Narrow"/>
            <w:sz w:val="18"/>
          </w:rPr>
          <w:t xml:space="preserve">Стр. </w:t>
        </w:r>
        <w:r>
          <w:rPr>
            <w:color w:val="000000"/>
            <w:rFonts w:ascii="Arial Narrow" w:hAnsi="Arial Narrow"/>
            <w:sz w:val="18"/>
          </w:rPr>
          <w:r>
            <w:rPr>
              <w:rFonts w:ascii="Arial Narrow" w:hAnsi="Arial Narrow"/>
              <w:sz w:val="18"/>
              <w:fldChar w:fldCharType="begin"/>
            </w:rPr>
          </w:r>
          <w:r>
            <w:rPr>
              <w:rFonts w:ascii="Arial Narrow" w:hAnsi="Arial Narrow"/>
              <w:sz w:val="18"/>
              <w:instrText> PAGE   \* MERGEFORMAT </w:instrText>
            </w:rPr>
          </w:r>
          <w:r>
            <w:rPr>
              <w:rFonts w:ascii="Arial Narrow" w:hAnsi="Arial Narrow"/>
              <w:sz w:val="18"/>
              <w:fldChar w:fldCharType="separate"/>
            </w:rPr>
          </w:r>
          <w:r>
            <w:rPr>
              <w:rFonts w:ascii="Arial Narrow" w:hAnsi="Arial Narrow"/>
              <w:sz w:val="18"/>
              <w:fldChar w:fldCharType="end"/>
            </w:rPr>
          </w:r>
        </w:r>
        <w:r>
          <w:rPr>
            <w:color w:val="000000"/>
            <w:rFonts w:ascii="Arial Narrow" w:hAnsi="Arial Narrow"/>
            <w:sz w:val="18"/>
          </w:rPr>
          <w:t xml:space="preserve"> из </w:t>
        </w:r>
        <w:r>
          <w:rPr>
            <w:color w:val="000000"/>
            <w:rFonts w:ascii="Arial Narrow" w:hAnsi="Arial Narrow"/>
            <w:sz w:val="18"/>
          </w:rPr>
          <w:r>
            <w:rPr>
              <w:rFonts w:ascii="Arial Narrow" w:hAnsi="Arial Narrow"/>
              <w:sz w:val="18"/>
              <w:fldChar w:fldCharType="begin"/>
            </w:rPr>
          </w:r>
          <w:r>
            <w:rPr>
              <w:rFonts w:ascii="Arial Narrow" w:hAnsi="Arial Narrow"/>
              <w:sz w:val="18"/>
              <w:instrText> NUMPAGES   \* MERGEFORMAT </w:instrText>
            </w:rPr>
          </w:r>
          <w:r>
            <w:rPr>
              <w:rFonts w:ascii="Arial Narrow" w:hAnsi="Arial Narrow"/>
              <w:sz w:val="18"/>
              <w:fldChar w:fldCharType="separate"/>
            </w:rPr>
          </w:r>
          <w:r>
            <w:rPr>
              <w:rFonts w:ascii="Arial Narrow" w:hAnsi="Arial Narrow"/>
              <w:sz w:val="18"/>
              <w:fldChar w:fldCharType="end"/>
            </w:rPr>
          </w:r>
        </w:r>
      </w:p>
    </w:sdtContent>
  </w:sdt>
  <w:p>
    <w:pPr>
      <w:pStyle w:val="a4"/>
    </w:pPr>
  </w:p>
</w:ftr>
</file>

<file path=word/settings.xml><?xml version="1.0" encoding="utf-8"?>
<w:settings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view w:val="web"/>
  <w:zoom w:percent="100"/>
</w:settings>
</file>

<file path=word/styles.xml><?xml version="1.0" encoding="utf-8"?>
<w:styles xmlns:r="http://schemas.openxmlformats.org/officeDocument/2006/relationships" xmlns:w="http://schemas.openxmlformats.org/wordprocessingml/2006/main">
  <w:style w:type="table" w:styleId="TableStyle0">
    <w:name w:val="TableStyle0"/>
    <w:pPr>
      <w:spacing w:after="0" w:line="240" w:lineRule="auto"/>
    </w:pPr>
    <w:rPr>
      <w:rFonts w:ascii="Arial" w:hAnsi="Arial"/>
      <w:sz w:val="16"/>
    </w:rPr>
  </w:style>
  <w:style w:type="paragraph" w:styleId="rId9">
    <w:name w:val="footer"/>
  </w:style>
  <w:style w:type="paragraph" w:styleId="rId11">
    <w:name w:val="foote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8" Type="http://schemas.openxmlformats.org/officeDocument/2006/relationships/header" Target="header1.xml"/>
	<Relationship Id="rId9" Type="http://schemas.openxmlformats.org/officeDocument/2006/relationships/footer" Target="footer1.xml"/>
	<Relationship Id="rId10" Type="http://schemas.openxmlformats.org/officeDocument/2006/relationships/header" Target="header2.xml"/>
	<Relationship Id="rId11" Type="http://schemas.openxmlformats.org/officeDocument/2006/relationships/footer" Target="footer2.xml"/>
</Relationships>
</file>